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549A" w14:textId="77777777" w:rsidR="005B53F7" w:rsidRDefault="005B53F7">
      <w:pPr>
        <w:pStyle w:val="Standard"/>
        <w:rPr>
          <w:rFonts w:ascii="Source Sans Pro" w:hAnsi="Source Sans Pro"/>
        </w:rPr>
      </w:pPr>
    </w:p>
    <w:p w14:paraId="5361549B" w14:textId="77777777" w:rsidR="005B53F7" w:rsidRDefault="00DE2A46">
      <w:pPr>
        <w:pStyle w:val="Standard"/>
        <w:jc w:val="both"/>
      </w:pPr>
      <w:r>
        <w:rPr>
          <w:rFonts w:ascii="Source Sans Pro" w:hAnsi="Source Sans Pro"/>
          <w:b/>
          <w:bCs/>
          <w:color w:val="468A1A"/>
        </w:rPr>
        <w:t>ANEXO</w:t>
      </w:r>
      <w:r>
        <w:rPr>
          <w:rFonts w:ascii="Source Sans Pro" w:hAnsi="Source Sans Pro"/>
          <w:b/>
          <w:bCs/>
          <w:color w:val="00A933"/>
        </w:rPr>
        <w:t xml:space="preserve"> </w:t>
      </w:r>
      <w:r>
        <w:rPr>
          <w:rFonts w:ascii="Source Sans Pro" w:hAnsi="Source Sans Pro"/>
          <w:b/>
          <w:bCs/>
          <w:color w:val="468A1A"/>
        </w:rPr>
        <w:t>B. CHECKLIST PARA LA SIMPLIFICACIÓN PROCEDIMENTAL Y PARA LA REDUCCIÓN DE CARGAS ADMINISTRATIVAS.</w:t>
      </w:r>
    </w:p>
    <w:p w14:paraId="5361549C" w14:textId="77777777" w:rsidR="005B53F7" w:rsidRDefault="005B53F7">
      <w:pPr>
        <w:pStyle w:val="Standard"/>
        <w:rPr>
          <w:rFonts w:ascii="Source Sans Pro" w:hAnsi="Source Sans Pro"/>
          <w:b/>
          <w:color w:val="365F92"/>
          <w:sz w:val="21"/>
          <w:szCs w:val="21"/>
        </w:rPr>
      </w:pPr>
    </w:p>
    <w:p w14:paraId="5361549D" w14:textId="77777777" w:rsidR="005B53F7" w:rsidRDefault="00DE2A46">
      <w:pPr>
        <w:pStyle w:val="Standard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ab/>
      </w:r>
      <w:r>
        <w:rPr>
          <w:rFonts w:ascii="Source Sans Pro" w:hAnsi="Source Sans Pro"/>
          <w:sz w:val="21"/>
          <w:szCs w:val="21"/>
        </w:rPr>
        <w:tab/>
      </w:r>
      <w:r>
        <w:rPr>
          <w:rFonts w:ascii="Source Sans Pro" w:hAnsi="Source Sans Pro"/>
          <w:sz w:val="21"/>
          <w:szCs w:val="21"/>
        </w:rPr>
        <w:tab/>
      </w:r>
      <w:r>
        <w:rPr>
          <w:rFonts w:ascii="Source Sans Pro" w:hAnsi="Source Sans Pro"/>
          <w:sz w:val="21"/>
          <w:szCs w:val="21"/>
        </w:rPr>
        <w:tab/>
      </w:r>
      <w:r>
        <w:rPr>
          <w:rFonts w:ascii="Source Sans Pro" w:hAnsi="Source Sans Pro"/>
          <w:sz w:val="21"/>
          <w:szCs w:val="21"/>
        </w:rPr>
        <w:tab/>
      </w:r>
      <w:r>
        <w:rPr>
          <w:rFonts w:ascii="Source Sans Pro" w:hAnsi="Source Sans Pro"/>
          <w:sz w:val="21"/>
          <w:szCs w:val="21"/>
        </w:rPr>
        <w:tab/>
      </w:r>
      <w:r>
        <w:rPr>
          <w:rFonts w:ascii="Source Sans Pro" w:hAnsi="Source Sans Pro"/>
          <w:sz w:val="21"/>
          <w:szCs w:val="21"/>
        </w:rPr>
        <w:tab/>
      </w:r>
      <w:r>
        <w:rPr>
          <w:rFonts w:ascii="Source Sans Pro" w:hAnsi="Source Sans Pro"/>
          <w:sz w:val="21"/>
          <w:szCs w:val="21"/>
        </w:rPr>
        <w:tab/>
      </w:r>
      <w:r>
        <w:rPr>
          <w:rFonts w:ascii="Source Sans Pro" w:hAnsi="Source Sans Pro"/>
          <w:sz w:val="21"/>
          <w:szCs w:val="21"/>
        </w:rPr>
        <w:tab/>
      </w:r>
      <w:r>
        <w:rPr>
          <w:rFonts w:ascii="Source Sans Pro" w:hAnsi="Source Sans Pro"/>
          <w:sz w:val="21"/>
          <w:szCs w:val="21"/>
        </w:rPr>
        <w:tab/>
      </w:r>
      <w:r>
        <w:rPr>
          <w:rFonts w:ascii="Source Sans Pro" w:hAnsi="Source Sans Pro"/>
          <w:sz w:val="21"/>
          <w:szCs w:val="21"/>
        </w:rPr>
        <w:tab/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7341"/>
        <w:gridCol w:w="855"/>
        <w:gridCol w:w="774"/>
      </w:tblGrid>
      <w:tr w:rsidR="005B53F7" w14:paraId="536154A2" w14:textId="77777777">
        <w:tblPrEx>
          <w:tblCellMar>
            <w:top w:w="0" w:type="dxa"/>
            <w:bottom w:w="0" w:type="dxa"/>
          </w:tblCellMar>
        </w:tblPrEx>
        <w:trPr>
          <w:trHeight w:val="355"/>
          <w:tblHeader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9E" w14:textId="77777777" w:rsidR="005B53F7" w:rsidRDefault="005B53F7">
            <w:pPr>
              <w:pStyle w:val="TableContents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9F" w14:textId="77777777" w:rsidR="005B53F7" w:rsidRDefault="005B53F7">
            <w:pPr>
              <w:pStyle w:val="Standard"/>
              <w:jc w:val="center"/>
              <w:rPr>
                <w:rFonts w:ascii="Source Sans Pro" w:hAnsi="Source Sans Pro"/>
                <w:b/>
                <w:bCs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A0" w14:textId="77777777" w:rsidR="005B53F7" w:rsidRDefault="00DE2A46">
            <w:pPr>
              <w:pStyle w:val="TableContents"/>
              <w:jc w:val="center"/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A1" w14:textId="77777777" w:rsidR="005B53F7" w:rsidRDefault="00DE2A46">
            <w:pPr>
              <w:pStyle w:val="TableContents"/>
              <w:jc w:val="center"/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sz w:val="21"/>
                <w:szCs w:val="21"/>
              </w:rPr>
              <w:t>NO</w:t>
            </w:r>
          </w:p>
        </w:tc>
      </w:tr>
      <w:tr w:rsidR="005B53F7" w14:paraId="536154A8" w14:textId="7777777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A3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1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A4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¿Está motivada la nueva regulación o, en su caso, la modificación del procedimiento </w:t>
            </w:r>
            <w:r>
              <w:rPr>
                <w:rFonts w:ascii="Source Sans Pro" w:hAnsi="Source Sans Pro"/>
                <w:sz w:val="21"/>
                <w:szCs w:val="21"/>
              </w:rPr>
              <w:t>administrativo?</w:t>
            </w:r>
          </w:p>
          <w:p w14:paraId="536154A5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A6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A7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B2" w14:textId="77777777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A9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2</w:t>
            </w:r>
          </w:p>
        </w:tc>
        <w:tc>
          <w:tcPr>
            <w:tcW w:w="73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AA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  <w:p w14:paraId="536154AB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¿Se eliminan procedimientos previos?</w:t>
            </w:r>
          </w:p>
          <w:p w14:paraId="536154AC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  <w:p w14:paraId="536154AD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  <w:p w14:paraId="536154AE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¿El nuevo procedimiento permite unificar otros existentes?</w:t>
            </w:r>
          </w:p>
          <w:p w14:paraId="536154AF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B0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B1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B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B3" w14:textId="77777777" w:rsidR="005B53F7" w:rsidRDefault="005B53F7"/>
        </w:tc>
        <w:tc>
          <w:tcPr>
            <w:tcW w:w="7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B4" w14:textId="77777777" w:rsidR="005B53F7" w:rsidRDefault="005B53F7"/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B5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B6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B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B8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3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B9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¿Se ha realizado una programación temporal de la tramitación del procedimiento?</w:t>
            </w:r>
          </w:p>
          <w:p w14:paraId="536154BA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BB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BC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C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BE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4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BF" w14:textId="77777777" w:rsidR="005B53F7" w:rsidRDefault="00DE2A46">
            <w:pPr>
              <w:pStyle w:val="Standard"/>
              <w:jc w:val="both"/>
            </w:pPr>
            <w:r>
              <w:rPr>
                <w:rFonts w:ascii="Source Sans Pro" w:hAnsi="Source Sans Pro"/>
                <w:sz w:val="21"/>
                <w:szCs w:val="21"/>
              </w:rPr>
              <w:t xml:space="preserve">A tenor de esa </w:t>
            </w:r>
            <w:r>
              <w:rPr>
                <w:rFonts w:ascii="Source Sans Pro" w:hAnsi="Source Sans Pro"/>
                <w:sz w:val="21"/>
                <w:szCs w:val="21"/>
              </w:rPr>
              <w:t xml:space="preserve">programación, </w:t>
            </w:r>
            <w:proofErr w:type="gramStart"/>
            <w:r>
              <w:rPr>
                <w:rFonts w:ascii="Source Sans Pro" w:hAnsi="Source Sans Pro"/>
                <w:sz w:val="21"/>
                <w:szCs w:val="21"/>
              </w:rPr>
              <w:t>¿ Es</w:t>
            </w:r>
            <w:proofErr w:type="gramEnd"/>
            <w:r>
              <w:rPr>
                <w:rFonts w:ascii="Source Sans Pro" w:hAnsi="Source Sans Pro"/>
                <w:sz w:val="21"/>
                <w:szCs w:val="21"/>
              </w:rPr>
              <w:t xml:space="preserve"> posible reducir el plazo máximo establecido en la propuesta normativa?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C0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C1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C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C3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5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C4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¿Existen sistemas de constancia de fechas para el control del cumplimiento de plazos?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C5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C6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C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C8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6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C9" w14:textId="77777777" w:rsidR="005B53F7" w:rsidRDefault="00DE2A46">
            <w:pPr>
              <w:pStyle w:val="Standard"/>
              <w:jc w:val="both"/>
            </w:pPr>
            <w:r>
              <w:rPr>
                <w:rFonts w:ascii="Source Sans Pro" w:hAnsi="Source Sans Pro"/>
                <w:sz w:val="21"/>
                <w:szCs w:val="21"/>
              </w:rPr>
              <w:t>¿Es posible suprimir, acumular o simplificar trámites?</w:t>
            </w:r>
          </w:p>
          <w:p w14:paraId="536154CA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CB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CC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D3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CE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7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CF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¿Existen formularios normalizados o modelos para la realización de trámites?</w:t>
            </w:r>
          </w:p>
          <w:p w14:paraId="536154D0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D1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D2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D8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D4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8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D5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¿Los formularios o modelos se han diseñado con los datos mínimos en orden a agilizar su cumplimentación?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D6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D7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DD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D9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9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DA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proofErr w:type="gramStart"/>
            <w:r>
              <w:rPr>
                <w:rFonts w:ascii="Source Sans Pro" w:hAnsi="Source Sans Pro"/>
                <w:sz w:val="21"/>
                <w:szCs w:val="21"/>
              </w:rPr>
              <w:t>¿ Se</w:t>
            </w:r>
            <w:proofErr w:type="gramEnd"/>
            <w:r>
              <w:rPr>
                <w:rFonts w:ascii="Source Sans Pro" w:hAnsi="Source Sans Pro"/>
                <w:sz w:val="21"/>
                <w:szCs w:val="21"/>
              </w:rPr>
              <w:t xml:space="preserve"> promueve la agrupación documental </w:t>
            </w:r>
            <w:r>
              <w:rPr>
                <w:rFonts w:ascii="Source Sans Pro" w:hAnsi="Source Sans Pro"/>
                <w:sz w:val="21"/>
                <w:szCs w:val="21"/>
              </w:rPr>
              <w:t>incorporando en un único documento las manifestaciones que, en forma de declaraciones, certificaciones o actuaciones de similar naturaleza, haya de hacer una misma persona en un mismo trámite, o en varios si la gestión del procedimiento lo permite?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DB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DC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E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DE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10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DF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¿Se han previsto medidas como guías/manuales/trípticos que faciliten la comprensión de los trámites a realizar por las personas interesadas en el procedimiento?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E0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E1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E7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E3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11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E4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En el caso de reconocimiento o ejercicio de un derecho o el inicio o </w:t>
            </w:r>
            <w:r>
              <w:rPr>
                <w:rFonts w:ascii="Source Sans Pro" w:hAnsi="Source Sans Pro"/>
                <w:sz w:val="21"/>
                <w:szCs w:val="21"/>
              </w:rPr>
              <w:t xml:space="preserve">desarrollo de una actividad, </w:t>
            </w:r>
            <w:proofErr w:type="gramStart"/>
            <w:r>
              <w:rPr>
                <w:rFonts w:ascii="Source Sans Pro" w:hAnsi="Source Sans Pro"/>
                <w:sz w:val="21"/>
                <w:szCs w:val="21"/>
              </w:rPr>
              <w:t>¿ Se</w:t>
            </w:r>
            <w:proofErr w:type="gramEnd"/>
            <w:r>
              <w:rPr>
                <w:rFonts w:ascii="Source Sans Pro" w:hAnsi="Source Sans Pro"/>
                <w:sz w:val="21"/>
                <w:szCs w:val="21"/>
              </w:rPr>
              <w:t xml:space="preserve"> promueve la declaración responsable o la comunicación como mecanismos de intervención administrativa preferentes y alternativos a la solicitud de inicio de un procedimiento de autorización, de licencia o de inscripción en un registro?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E5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E6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EC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E8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12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E9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En el caso de procedimientos administrativos, ¿Se potencia la resolución automatizada?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EA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EB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F3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ED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13</w:t>
            </w:r>
          </w:p>
        </w:tc>
        <w:tc>
          <w:tcPr>
            <w:tcW w:w="734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EE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En el caso de procedimientos administrativos, si se exige aportación de documentación junto a la solicitud:   </w:t>
            </w:r>
          </w:p>
          <w:p w14:paraId="536154EF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F0" w14:textId="77777777" w:rsidR="005B53F7" w:rsidRDefault="005B53F7">
            <w:pPr>
              <w:pStyle w:val="TableContents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  <w:p w14:paraId="536154F1" w14:textId="77777777" w:rsidR="005B53F7" w:rsidRDefault="005B53F7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F2" w14:textId="77777777" w:rsidR="005B53F7" w:rsidRDefault="005B53F7">
            <w:pPr>
              <w:pStyle w:val="Standard"/>
              <w:jc w:val="center"/>
            </w:pPr>
          </w:p>
        </w:tc>
      </w:tr>
      <w:tr w:rsidR="005B53F7" w14:paraId="536154F8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F4" w14:textId="77777777" w:rsidR="005B53F7" w:rsidRDefault="005B53F7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734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F5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proofErr w:type="gramStart"/>
            <w:r>
              <w:rPr>
                <w:rFonts w:ascii="Source Sans Pro" w:hAnsi="Source Sans Pro"/>
                <w:sz w:val="21"/>
                <w:szCs w:val="21"/>
              </w:rPr>
              <w:t>-¿ Se</w:t>
            </w:r>
            <w:proofErr w:type="gramEnd"/>
            <w:r>
              <w:rPr>
                <w:rFonts w:ascii="Source Sans Pro" w:hAnsi="Source Sans Pro"/>
                <w:sz w:val="21"/>
                <w:szCs w:val="21"/>
              </w:rPr>
              <w:t xml:space="preserve"> solicita sólo </w:t>
            </w:r>
            <w:r>
              <w:rPr>
                <w:rFonts w:ascii="Source Sans Pro" w:hAnsi="Source Sans Pro"/>
                <w:sz w:val="21"/>
                <w:szCs w:val="21"/>
              </w:rPr>
              <w:t>la documentación imprescindible para la resolución del procedimiento?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F6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F7" w14:textId="77777777" w:rsidR="005B53F7" w:rsidRDefault="00DE2A46">
            <w:pPr>
              <w:pStyle w:val="Standard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4FE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F9" w14:textId="77777777" w:rsidR="005B53F7" w:rsidRDefault="005B53F7"/>
        </w:tc>
        <w:tc>
          <w:tcPr>
            <w:tcW w:w="734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FA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proofErr w:type="gramStart"/>
            <w:r>
              <w:rPr>
                <w:rFonts w:ascii="Source Sans Pro" w:hAnsi="Source Sans Pro"/>
                <w:sz w:val="21"/>
                <w:szCs w:val="21"/>
              </w:rPr>
              <w:t>-¿</w:t>
            </w:r>
            <w:proofErr w:type="gramEnd"/>
            <w:r>
              <w:rPr>
                <w:rFonts w:ascii="Source Sans Pro" w:hAnsi="Source Sans Pro"/>
                <w:sz w:val="21"/>
                <w:szCs w:val="21"/>
              </w:rPr>
              <w:t>Es posible sustituir la aportación de documentación por declaraciones responsables?</w:t>
            </w:r>
          </w:p>
          <w:p w14:paraId="536154FB" w14:textId="77777777" w:rsidR="005B53F7" w:rsidRDefault="005B53F7"/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FC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FD" w14:textId="77777777" w:rsidR="005B53F7" w:rsidRDefault="00DE2A46">
            <w:pPr>
              <w:pStyle w:val="Standard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0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4FF" w14:textId="77777777" w:rsidR="005B53F7" w:rsidRDefault="005B53F7"/>
        </w:tc>
        <w:tc>
          <w:tcPr>
            <w:tcW w:w="734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00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proofErr w:type="gramStart"/>
            <w:r>
              <w:rPr>
                <w:rFonts w:ascii="Source Sans Pro" w:hAnsi="Source Sans Pro"/>
                <w:sz w:val="21"/>
                <w:szCs w:val="21"/>
              </w:rPr>
              <w:t>-¿</w:t>
            </w:r>
            <w:proofErr w:type="gramEnd"/>
            <w:r>
              <w:rPr>
                <w:rFonts w:ascii="Source Sans Pro" w:hAnsi="Source Sans Pro"/>
                <w:sz w:val="21"/>
                <w:szCs w:val="21"/>
              </w:rPr>
              <w:t xml:space="preserve">Estas declaraciones responsables figuran en el formulario normalizado de </w:t>
            </w:r>
            <w:r>
              <w:rPr>
                <w:rFonts w:ascii="Source Sans Pro" w:hAnsi="Source Sans Pro"/>
                <w:sz w:val="21"/>
                <w:szCs w:val="21"/>
              </w:rPr>
              <w:t>solicitud?</w:t>
            </w:r>
          </w:p>
          <w:p w14:paraId="53615501" w14:textId="77777777" w:rsidR="005B53F7" w:rsidRDefault="005B53F7"/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02" w14:textId="77777777" w:rsidR="005B53F7" w:rsidRDefault="00DE2A46">
            <w:pPr>
              <w:pStyle w:val="Standard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03" w14:textId="77777777" w:rsidR="005B53F7" w:rsidRDefault="00DE2A46">
            <w:pPr>
              <w:pStyle w:val="Standard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0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05" w14:textId="77777777" w:rsidR="005B53F7" w:rsidRDefault="005B53F7"/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06" w14:textId="77777777" w:rsidR="005B53F7" w:rsidRDefault="00DE2A46">
            <w:r>
              <w:rPr>
                <w:rFonts w:ascii="Source Sans Pro" w:hAnsi="Source Sans Pro"/>
                <w:sz w:val="21"/>
                <w:szCs w:val="21"/>
              </w:rPr>
              <w:t xml:space="preserve"> - A efectos de subsanación de la solicitud, ¿se procede a reclamar todos los documentos que falten?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07" w14:textId="77777777" w:rsidR="005B53F7" w:rsidRDefault="00DE2A46">
            <w:pPr>
              <w:pStyle w:val="Standard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08" w14:textId="77777777" w:rsidR="005B53F7" w:rsidRDefault="00DE2A46">
            <w:pPr>
              <w:pStyle w:val="Standard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17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0A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14</w:t>
            </w:r>
          </w:p>
        </w:tc>
        <w:tc>
          <w:tcPr>
            <w:tcW w:w="73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0B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En el caso de procedimientos administrativos, si la aportación de documentación se prevé en el trámite de audiencia </w:t>
            </w:r>
            <w:r>
              <w:rPr>
                <w:rFonts w:ascii="Source Sans Pro" w:hAnsi="Source Sans Pro"/>
                <w:sz w:val="21"/>
                <w:szCs w:val="21"/>
              </w:rPr>
              <w:t>anterior a la propuesta de resolución:</w:t>
            </w:r>
          </w:p>
          <w:p w14:paraId="5361550C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  <w:p w14:paraId="5361550D" w14:textId="77777777" w:rsidR="005B53F7" w:rsidRDefault="00DE2A46">
            <w:pPr>
              <w:pStyle w:val="Standard"/>
              <w:jc w:val="both"/>
            </w:pPr>
            <w:r>
              <w:rPr>
                <w:rFonts w:ascii="Source Sans Pro" w:hAnsi="Source Sans Pro"/>
                <w:sz w:val="21"/>
                <w:szCs w:val="21"/>
              </w:rPr>
              <w:t xml:space="preserve">       </w:t>
            </w:r>
            <w:proofErr w:type="gramStart"/>
            <w:r>
              <w:rPr>
                <w:rFonts w:ascii="Source Sans Pro" w:hAnsi="Source Sans Pro"/>
                <w:sz w:val="21"/>
                <w:szCs w:val="21"/>
              </w:rPr>
              <w:t>-¿ Se</w:t>
            </w:r>
            <w:proofErr w:type="gramEnd"/>
            <w:r>
              <w:rPr>
                <w:rFonts w:ascii="Source Sans Pro" w:hAnsi="Source Sans Pro"/>
                <w:sz w:val="21"/>
                <w:szCs w:val="21"/>
              </w:rPr>
              <w:t xml:space="preserve"> solicita sólo la documentación imprescindible para la resolución del procedimiento?</w:t>
            </w:r>
          </w:p>
          <w:p w14:paraId="5361550E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  <w:p w14:paraId="5361550F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      - ¿Es posible sustituir la aportación de documentación por declaraciones responsables?</w:t>
            </w:r>
          </w:p>
          <w:p w14:paraId="53615510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  <w:p w14:paraId="53615511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         - ¿Estas declaraciones responsables figuran en un formulario normalizado, por </w:t>
            </w:r>
            <w:proofErr w:type="gramStart"/>
            <w:r>
              <w:rPr>
                <w:rFonts w:ascii="Source Sans Pro" w:hAnsi="Source Sans Pro"/>
                <w:sz w:val="21"/>
                <w:szCs w:val="21"/>
              </w:rPr>
              <w:t>ejemplo,  en</w:t>
            </w:r>
            <w:proofErr w:type="gramEnd"/>
            <w:r>
              <w:rPr>
                <w:rFonts w:ascii="Source Sans Pro" w:hAnsi="Source Sans Pro"/>
                <w:sz w:val="21"/>
                <w:szCs w:val="21"/>
              </w:rPr>
              <w:t xml:space="preserve"> un formulario de alegaciones y presentación de documentos?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12" w14:textId="77777777" w:rsidR="005B53F7" w:rsidRDefault="005B53F7">
            <w:pPr>
              <w:pStyle w:val="TableContents"/>
              <w:jc w:val="center"/>
            </w:pPr>
          </w:p>
          <w:p w14:paraId="53615513" w14:textId="77777777" w:rsidR="005B53F7" w:rsidRDefault="005B53F7">
            <w:pPr>
              <w:pStyle w:val="TableContents"/>
              <w:jc w:val="center"/>
            </w:pPr>
          </w:p>
          <w:p w14:paraId="53615514" w14:textId="77777777" w:rsidR="005B53F7" w:rsidRDefault="005B53F7">
            <w:pPr>
              <w:pStyle w:val="TableContents"/>
              <w:jc w:val="center"/>
            </w:pPr>
          </w:p>
        </w:tc>
        <w:tc>
          <w:tcPr>
            <w:tcW w:w="7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15" w14:textId="77777777" w:rsidR="005B53F7" w:rsidRDefault="005B53F7">
            <w:pPr>
              <w:pStyle w:val="TableContents"/>
              <w:jc w:val="center"/>
            </w:pPr>
          </w:p>
          <w:p w14:paraId="53615516" w14:textId="77777777" w:rsidR="005B53F7" w:rsidRDefault="005B53F7">
            <w:pPr>
              <w:pStyle w:val="TableContents"/>
              <w:jc w:val="center"/>
            </w:pPr>
          </w:p>
        </w:tc>
      </w:tr>
      <w:tr w:rsidR="005B53F7" w14:paraId="5361551C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18" w14:textId="77777777" w:rsidR="005B53F7" w:rsidRDefault="005B53F7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7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19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1A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1B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21" w14:textId="7777777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1D" w14:textId="77777777" w:rsidR="005B53F7" w:rsidRDefault="005B53F7"/>
        </w:tc>
        <w:tc>
          <w:tcPr>
            <w:tcW w:w="7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1E" w14:textId="77777777" w:rsidR="005B53F7" w:rsidRDefault="005B53F7"/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1F" w14:textId="77777777" w:rsidR="005B53F7" w:rsidRDefault="00DE2A46">
            <w:pPr>
              <w:pStyle w:val="Standard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0" w14:textId="77777777" w:rsidR="005B53F7" w:rsidRDefault="00DE2A46">
            <w:pPr>
              <w:pStyle w:val="Standard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2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2" w14:textId="77777777" w:rsidR="005B53F7" w:rsidRDefault="005B53F7"/>
        </w:tc>
        <w:tc>
          <w:tcPr>
            <w:tcW w:w="7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3" w14:textId="77777777" w:rsidR="005B53F7" w:rsidRDefault="005B53F7"/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4" w14:textId="77777777" w:rsidR="005B53F7" w:rsidRDefault="00DE2A46">
            <w:pPr>
              <w:pStyle w:val="Standard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5" w14:textId="77777777" w:rsidR="005B53F7" w:rsidRDefault="00DE2A46">
            <w:pPr>
              <w:pStyle w:val="Standard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2B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7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15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8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Para dar cumplimiento al derecho de las personas interesadas a no aportar </w:t>
            </w:r>
            <w:r>
              <w:rPr>
                <w:rFonts w:ascii="Source Sans Pro" w:hAnsi="Source Sans Pro"/>
                <w:sz w:val="21"/>
                <w:szCs w:val="21"/>
              </w:rPr>
              <w:t>documentos que ya se encuentren en poder de la Administración actuante o hayan sido elaborados por cualquier otra Administración, ¿Está prevista la utilización de redes corporativas o la consulta a plataformas de intermediación de datos u otros sistemas electrónicos habilitados al efecto?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9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A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3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C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16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D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¿Se reduce al mínimo imprescindible la frecuencia de presentar determinados documentos o datos a lo largo de la tramitación del procedimiento?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E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2F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3B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31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17</w:t>
            </w:r>
          </w:p>
        </w:tc>
        <w:tc>
          <w:tcPr>
            <w:tcW w:w="73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32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En el caso de que esté previsto la petición de informes a lo </w:t>
            </w:r>
            <w:r>
              <w:rPr>
                <w:rFonts w:ascii="Source Sans Pro" w:hAnsi="Source Sans Pro"/>
                <w:sz w:val="21"/>
                <w:szCs w:val="21"/>
              </w:rPr>
              <w:t>largo de la tramitación del procedimiento:</w:t>
            </w:r>
          </w:p>
          <w:p w14:paraId="53615533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  <w:p w14:paraId="53615534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- </w:t>
            </w:r>
            <w:proofErr w:type="gramStart"/>
            <w:r>
              <w:rPr>
                <w:rFonts w:ascii="Source Sans Pro" w:hAnsi="Source Sans Pro"/>
                <w:sz w:val="21"/>
                <w:szCs w:val="21"/>
              </w:rPr>
              <w:t>¿ Son</w:t>
            </w:r>
            <w:proofErr w:type="gramEnd"/>
            <w:r>
              <w:rPr>
                <w:rFonts w:ascii="Source Sans Pro" w:hAnsi="Source Sans Pro"/>
                <w:sz w:val="21"/>
                <w:szCs w:val="21"/>
              </w:rPr>
              <w:t xml:space="preserve"> necesarios tales informes?</w:t>
            </w:r>
          </w:p>
          <w:p w14:paraId="53615535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  <w:p w14:paraId="53615536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- En el caso de que alguno sea preceptivo, ¿Se ha valorado su sustitución por un informe potestativo?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37" w14:textId="77777777" w:rsidR="005B53F7" w:rsidRDefault="005B53F7">
            <w:pPr>
              <w:pStyle w:val="TableContents"/>
              <w:jc w:val="center"/>
            </w:pPr>
          </w:p>
        </w:tc>
        <w:tc>
          <w:tcPr>
            <w:tcW w:w="7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38" w14:textId="77777777" w:rsidR="005B53F7" w:rsidRDefault="005B53F7">
            <w:pPr>
              <w:pStyle w:val="TableContents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  <w:p w14:paraId="53615539" w14:textId="77777777" w:rsidR="005B53F7" w:rsidRDefault="005B53F7">
            <w:pPr>
              <w:pStyle w:val="TableContents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  <w:p w14:paraId="5361553A" w14:textId="77777777" w:rsidR="005B53F7" w:rsidRDefault="005B53F7">
            <w:pPr>
              <w:pStyle w:val="TableContents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5B53F7" w14:paraId="53615540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3C" w14:textId="77777777" w:rsidR="005B53F7" w:rsidRDefault="005B53F7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7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3D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3E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3F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4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41" w14:textId="77777777" w:rsidR="005B53F7" w:rsidRDefault="005B53F7"/>
        </w:tc>
        <w:tc>
          <w:tcPr>
            <w:tcW w:w="734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42" w14:textId="77777777" w:rsidR="005B53F7" w:rsidRDefault="005B53F7"/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43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44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4A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46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18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47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¿Se ha revisado el sentido del silencio </w:t>
            </w:r>
            <w:r>
              <w:rPr>
                <w:rFonts w:ascii="Source Sans Pro" w:hAnsi="Source Sans Pro"/>
                <w:sz w:val="21"/>
                <w:szCs w:val="21"/>
              </w:rPr>
              <w:t>teniendo en cuenta lo dispuesto en el artículo 24 de la Ley 39/2015, de 1 de octubre?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48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49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50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4B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19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4C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En el supuesto de que el procedimiento prevea la inscripción en un Registro:</w:t>
            </w:r>
          </w:p>
          <w:p w14:paraId="5361554D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4E" w14:textId="77777777" w:rsidR="005B53F7" w:rsidRDefault="005B53F7">
            <w:pPr>
              <w:pStyle w:val="TableContents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77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4F" w14:textId="77777777" w:rsidR="005B53F7" w:rsidRDefault="005B53F7">
            <w:pPr>
              <w:pStyle w:val="TableContents"/>
              <w:jc w:val="center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5B53F7" w14:paraId="53615555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51" w14:textId="77777777" w:rsidR="005B53F7" w:rsidRDefault="005B53F7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52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- ¿Está justificada la existencia de ese Registro?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53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54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5B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56" w14:textId="77777777" w:rsidR="005B53F7" w:rsidRDefault="005B53F7"/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57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- En caso de </w:t>
            </w:r>
            <w:r>
              <w:rPr>
                <w:rFonts w:ascii="Source Sans Pro" w:hAnsi="Source Sans Pro"/>
                <w:sz w:val="21"/>
                <w:szCs w:val="21"/>
              </w:rPr>
              <w:t>serlo, ¿Se ha previsto que esta inscripción sea de oficio?</w:t>
            </w:r>
          </w:p>
          <w:p w14:paraId="53615558" w14:textId="77777777" w:rsidR="005B53F7" w:rsidRDefault="005B53F7"/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59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5A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61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5C" w14:textId="77777777" w:rsidR="005B53F7" w:rsidRDefault="005B53F7"/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5D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proofErr w:type="gramStart"/>
            <w:r>
              <w:rPr>
                <w:rFonts w:ascii="Source Sans Pro" w:hAnsi="Source Sans Pro"/>
                <w:sz w:val="21"/>
                <w:szCs w:val="21"/>
              </w:rPr>
              <w:t>-¿</w:t>
            </w:r>
            <w:proofErr w:type="gramEnd"/>
            <w:r>
              <w:rPr>
                <w:rFonts w:ascii="Source Sans Pro" w:hAnsi="Source Sans Pro"/>
                <w:sz w:val="21"/>
                <w:szCs w:val="21"/>
              </w:rPr>
              <w:t>Es posible prever la vigencia indefinida de la inscripción?</w:t>
            </w:r>
          </w:p>
          <w:p w14:paraId="5361555E" w14:textId="77777777" w:rsidR="005B53F7" w:rsidRDefault="005B53F7"/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5F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60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6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62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20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63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Respecto de la tramitación del procedimiento ¿El proceso de trabajo a seguir es claro, conciso y </w:t>
            </w:r>
            <w:r>
              <w:rPr>
                <w:rFonts w:ascii="Source Sans Pro" w:hAnsi="Source Sans Pro"/>
                <w:sz w:val="21"/>
                <w:szCs w:val="21"/>
              </w:rPr>
              <w:t>comprensible?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64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65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6E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67" w14:textId="77777777" w:rsidR="005B53F7" w:rsidRDefault="005B53F7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</w:p>
          <w:p w14:paraId="53615568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lastRenderedPageBreak/>
              <w:t>21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69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  <w:p w14:paraId="5361556A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lastRenderedPageBreak/>
              <w:t>¿Existe duplicidad de archivo (papel e informatizado)?</w:t>
            </w:r>
          </w:p>
          <w:p w14:paraId="5361556B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6C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lastRenderedPageBreak/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6D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73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6F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22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70" w14:textId="77777777" w:rsidR="005B53F7" w:rsidRDefault="00DE2A46">
            <w:pPr>
              <w:pStyle w:val="Standard"/>
              <w:jc w:val="both"/>
            </w:pPr>
            <w:r>
              <w:rPr>
                <w:rFonts w:ascii="Source Sans Pro" w:hAnsi="Source Sans Pro"/>
                <w:sz w:val="21"/>
                <w:szCs w:val="21"/>
              </w:rPr>
              <w:t xml:space="preserve">En el caso de procedimientos complejos en los cuales intervengan órganos o unidades pertenecientes a distintas Consejerías de la Administración de la Junta de </w:t>
            </w:r>
            <w:r>
              <w:rPr>
                <w:rFonts w:ascii="Source Sans Pro" w:hAnsi="Source Sans Pro"/>
                <w:sz w:val="21"/>
                <w:szCs w:val="21"/>
              </w:rPr>
              <w:t>Andalucía o de otras Administraciones Públicas, ¿Existe coordinación efectiva entre ellos para eliminar informes o trámites innecesarios o redundantes?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71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72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79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74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23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75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¿El procedimiento está dado de alta en RPS?</w:t>
            </w:r>
          </w:p>
          <w:p w14:paraId="53615576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77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78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7F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7A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24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7B" w14:textId="77777777" w:rsidR="005B53F7" w:rsidRDefault="00DE2A46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¿El procedimiento es visible en el </w:t>
            </w:r>
            <w:r>
              <w:rPr>
                <w:rFonts w:ascii="Source Sans Pro" w:hAnsi="Source Sans Pro"/>
                <w:sz w:val="21"/>
                <w:szCs w:val="21"/>
              </w:rPr>
              <w:t>Catálogo de Procedimientos y Servicios?</w:t>
            </w:r>
          </w:p>
          <w:p w14:paraId="5361557C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7D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7E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8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80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25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81" w14:textId="77777777" w:rsidR="005B53F7" w:rsidRDefault="00DE2A46">
            <w:pPr>
              <w:pStyle w:val="Standard"/>
              <w:jc w:val="both"/>
            </w:pPr>
            <w:r>
              <w:rPr>
                <w:rFonts w:ascii="Source Sans Pro" w:hAnsi="Source Sans Pro"/>
                <w:sz w:val="21"/>
                <w:szCs w:val="21"/>
              </w:rPr>
              <w:t xml:space="preserve">En cumplimiento de las obligaciones generales de transparencia y las específicas derivadas de la norma, ¿Es clara la información que se da a las personas destinatarias sobre el procedimiento, los </w:t>
            </w:r>
            <w:r>
              <w:rPr>
                <w:rFonts w:ascii="Source Sans Pro" w:hAnsi="Source Sans Pro"/>
                <w:sz w:val="21"/>
                <w:szCs w:val="21"/>
              </w:rPr>
              <w:t>requisitos y, en su caso, la documentación que se requiere?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82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83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8A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85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26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86" w14:textId="77777777" w:rsidR="005B53F7" w:rsidRDefault="00DE2A46">
            <w:pPr>
              <w:pStyle w:val="Standard"/>
              <w:jc w:val="both"/>
            </w:pPr>
            <w:r>
              <w:rPr>
                <w:rFonts w:ascii="Source Sans Pro" w:hAnsi="Source Sans Pro"/>
                <w:sz w:val="21"/>
                <w:szCs w:val="21"/>
              </w:rPr>
              <w:t>¿Es factible la digitalización del procedimiento</w:t>
            </w:r>
            <w:r>
              <w:rPr>
                <w:rStyle w:val="Refdenotaalpie"/>
                <w:rFonts w:ascii="Source Sans Pro" w:hAnsi="Source Sans Pro"/>
                <w:sz w:val="21"/>
                <w:szCs w:val="21"/>
              </w:rPr>
              <w:footnoteReference w:id="1"/>
            </w:r>
            <w:r>
              <w:rPr>
                <w:rFonts w:ascii="Source Sans Pro" w:hAnsi="Source Sans Pro"/>
                <w:sz w:val="21"/>
                <w:szCs w:val="21"/>
              </w:rPr>
              <w:t>?</w:t>
            </w:r>
          </w:p>
          <w:p w14:paraId="53615587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88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89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  <w:tr w:rsidR="005B53F7" w14:paraId="53615590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8B" w14:textId="77777777" w:rsidR="005B53F7" w:rsidRDefault="00DE2A46">
            <w:pPr>
              <w:pStyle w:val="TableContents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27</w:t>
            </w:r>
          </w:p>
        </w:tc>
        <w:tc>
          <w:tcPr>
            <w:tcW w:w="7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8C" w14:textId="77777777" w:rsidR="005B53F7" w:rsidRDefault="00DE2A46">
            <w:pPr>
              <w:pStyle w:val="Standard"/>
              <w:jc w:val="both"/>
            </w:pPr>
            <w:r>
              <w:rPr>
                <w:rFonts w:ascii="Source Sans Pro" w:hAnsi="Source Sans Pro"/>
                <w:sz w:val="21"/>
                <w:szCs w:val="21"/>
              </w:rPr>
              <w:t xml:space="preserve">¿Es </w:t>
            </w:r>
            <w:r>
              <w:rPr>
                <w:rFonts w:ascii="Source Sans Pro" w:hAnsi="Source Sans Pro"/>
                <w:sz w:val="21"/>
                <w:szCs w:val="21"/>
              </w:rPr>
              <w:t>factible la automatización del procedimiento</w:t>
            </w:r>
            <w:r>
              <w:rPr>
                <w:rStyle w:val="Refdenotaalpie"/>
                <w:rFonts w:ascii="Source Sans Pro" w:hAnsi="Source Sans Pro"/>
                <w:sz w:val="21"/>
                <w:szCs w:val="21"/>
              </w:rPr>
              <w:footnoteReference w:id="2"/>
            </w:r>
            <w:r>
              <w:rPr>
                <w:rFonts w:ascii="Source Sans Pro" w:hAnsi="Source Sans Pro"/>
                <w:sz w:val="21"/>
                <w:szCs w:val="21"/>
              </w:rPr>
              <w:t>?</w:t>
            </w:r>
          </w:p>
          <w:p w14:paraId="5361558D" w14:textId="77777777" w:rsidR="005B53F7" w:rsidRDefault="005B53F7">
            <w:pPr>
              <w:pStyle w:val="Standard"/>
              <w:jc w:val="both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8E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558F" w14:textId="77777777" w:rsidR="005B53F7" w:rsidRDefault="00DE2A46">
            <w:pPr>
              <w:pStyle w:val="TableContents"/>
              <w:jc w:val="center"/>
            </w:pPr>
            <w:r>
              <w:rPr>
                <w:rFonts w:ascii="MS Gothic" w:eastAsia="MS Gothic" w:hAnsi="MS Gothic"/>
                <w:sz w:val="21"/>
                <w:szCs w:val="21"/>
              </w:rPr>
              <w:t>☐</w:t>
            </w:r>
          </w:p>
        </w:tc>
      </w:tr>
    </w:tbl>
    <w:p w14:paraId="53615591" w14:textId="77777777" w:rsidR="005B53F7" w:rsidRDefault="005B53F7">
      <w:pPr>
        <w:pStyle w:val="Standard"/>
        <w:rPr>
          <w:rFonts w:ascii="Source Sans Pro" w:hAnsi="Source Sans Pro"/>
          <w:sz w:val="21"/>
          <w:szCs w:val="21"/>
        </w:rPr>
      </w:pPr>
    </w:p>
    <w:p w14:paraId="53615592" w14:textId="77777777" w:rsidR="005B53F7" w:rsidRDefault="005B53F7">
      <w:pPr>
        <w:pStyle w:val="Standard"/>
        <w:rPr>
          <w:sz w:val="21"/>
          <w:szCs w:val="21"/>
        </w:rPr>
      </w:pPr>
    </w:p>
    <w:sectPr w:rsidR="005B53F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1549E" w14:textId="77777777" w:rsidR="00DE2A46" w:rsidRDefault="00DE2A46">
      <w:r>
        <w:separator/>
      </w:r>
    </w:p>
  </w:endnote>
  <w:endnote w:type="continuationSeparator" w:id="0">
    <w:p w14:paraId="536154A0" w14:textId="77777777" w:rsidR="00DE2A46" w:rsidRDefault="00DE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1549A" w14:textId="77777777" w:rsidR="00DE2A46" w:rsidRDefault="00DE2A46">
      <w:r>
        <w:rPr>
          <w:color w:val="000000"/>
        </w:rPr>
        <w:separator/>
      </w:r>
    </w:p>
  </w:footnote>
  <w:footnote w:type="continuationSeparator" w:id="0">
    <w:p w14:paraId="5361549C" w14:textId="77777777" w:rsidR="00DE2A46" w:rsidRDefault="00DE2A46">
      <w:r>
        <w:continuationSeparator/>
      </w:r>
    </w:p>
  </w:footnote>
  <w:footnote w:id="1">
    <w:p w14:paraId="5361549A" w14:textId="77777777" w:rsidR="005B53F7" w:rsidRDefault="00DE2A46">
      <w:pPr>
        <w:pStyle w:val="Footnote"/>
      </w:pPr>
      <w:r>
        <w:rPr>
          <w:rStyle w:val="Refdenotaalpie"/>
        </w:rPr>
        <w:footnoteRef/>
      </w:r>
      <w:r>
        <w:t>En caso de respuesta afirmativa, se estará a lo previsto en el apartado 2.8 Medios electrónicos de esta Guía.</w:t>
      </w:r>
    </w:p>
  </w:footnote>
  <w:footnote w:id="2">
    <w:p w14:paraId="5361549B" w14:textId="77777777" w:rsidR="005B53F7" w:rsidRDefault="00DE2A46">
      <w:pPr>
        <w:pStyle w:val="Footnote"/>
      </w:pPr>
      <w:r>
        <w:rPr>
          <w:rStyle w:val="Refdenotaalpie"/>
        </w:rPr>
        <w:footnoteRef/>
      </w:r>
      <w:r>
        <w:t>En caso de respuesta afirmativa, se estará a lo previsto en el apartado 2.8 Medios electrónicos de esta Guía.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53F7"/>
    <w:rsid w:val="003B0BB2"/>
    <w:rsid w:val="005B53F7"/>
    <w:rsid w:val="00D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549A"/>
  <w15:docId w15:val="{096C0980-01BA-4EF1-930C-31192884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16A3F39E65C4F85A88CEB27598AB0" ma:contentTypeVersion="14" ma:contentTypeDescription="Crear nuevo documento." ma:contentTypeScope="" ma:versionID="12d7a15519d66e06a86cb166de8729e1">
  <xsd:schema xmlns:xsd="http://www.w3.org/2001/XMLSchema" xmlns:xs="http://www.w3.org/2001/XMLSchema" xmlns:p="http://schemas.microsoft.com/office/2006/metadata/properties" xmlns:ns2="ecc9b1e5-bb30-4631-9526-3cc83b7f46f3" xmlns:ns3="bde92182-114f-4080-a8cf-8a5f60b3eeee" targetNamespace="http://schemas.microsoft.com/office/2006/metadata/properties" ma:root="true" ma:fieldsID="57598f39ddb4a2080525c4e2301460de" ns2:_="" ns3:_="">
    <xsd:import namespace="ecc9b1e5-bb30-4631-9526-3cc83b7f46f3"/>
    <xsd:import namespace="bde92182-114f-4080-a8cf-8a5f60b3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1e5-bb30-4631-9526-3cc83b7f4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681f248e-c3d7-47dd-9561-97a85f883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92182-114f-4080-a8cf-8a5f60b3ee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3ac8fa-40cb-40d5-8d04-90b414e2546d}" ma:internalName="TaxCatchAll" ma:showField="CatchAllData" ma:web="bde92182-114f-4080-a8cf-8a5f60b3e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92182-114f-4080-a8cf-8a5f60b3eeee" xsi:nil="true"/>
    <lcf76f155ced4ddcb4097134ff3c332f xmlns="ecc9b1e5-bb30-4631-9526-3cc83b7f46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87CA46-2A5F-4A50-AAD1-E5488C5A0FD7}"/>
</file>

<file path=customXml/itemProps2.xml><?xml version="1.0" encoding="utf-8"?>
<ds:datastoreItem xmlns:ds="http://schemas.openxmlformats.org/officeDocument/2006/customXml" ds:itemID="{9DBC5B72-05E8-4094-8B1F-CFA96FBEC284}"/>
</file>

<file path=customXml/itemProps3.xml><?xml version="1.0" encoding="utf-8"?>
<ds:datastoreItem xmlns:ds="http://schemas.openxmlformats.org/officeDocument/2006/customXml" ds:itemID="{831625CA-A604-4E98-A0AB-2CACFAB5E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RAMON GIL CALDERON</cp:lastModifiedBy>
  <cp:revision>2</cp:revision>
  <dcterms:created xsi:type="dcterms:W3CDTF">2024-05-16T08:37:00Z</dcterms:created>
  <dcterms:modified xsi:type="dcterms:W3CDTF">2024-05-16T08:37:00Z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0x01010096B16A3F39E65C4F85A88CEB27598AB0</vt:lpwstr>
  </property>
</Properties>
</file>